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4408"/>
        <w:rPr>
          <w:rFonts w:ascii="Times New Roman"/>
          <w:sz w:val="20"/>
        </w:rPr>
      </w:pPr>
      <w:r>
        <w:rPr/>
        <w:drawing>
          <wp:anchor distT="0" distB="0" distL="0" distR="0" allowOverlap="1" layoutInCell="1" locked="0" behindDoc="0" simplePos="0" relativeHeight="15729152">
            <wp:simplePos x="0" y="0"/>
            <wp:positionH relativeFrom="page">
              <wp:posOffset>0</wp:posOffset>
            </wp:positionH>
            <wp:positionV relativeFrom="page">
              <wp:posOffset>8266493</wp:posOffset>
            </wp:positionV>
            <wp:extent cx="7559992" cy="242550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559992" cy="2425509"/>
                    </a:xfrm>
                    <a:prstGeom prst="rect">
                      <a:avLst/>
                    </a:prstGeom>
                  </pic:spPr>
                </pic:pic>
              </a:graphicData>
            </a:graphic>
          </wp:anchor>
        </w:drawing>
      </w:r>
      <w:r>
        <w:rPr>
          <w:rFonts w:ascii="Times New Roman"/>
          <w:sz w:val="20"/>
        </w:rPr>
        <mc:AlternateContent>
          <mc:Choice Requires="wps">
            <w:drawing>
              <wp:inline distT="0" distB="0" distL="0" distR="0">
                <wp:extent cx="615315" cy="399415"/>
                <wp:effectExtent l="0" t="0" r="0" b="635"/>
                <wp:docPr id="2" name="Group 2"/>
                <wp:cNvGraphicFramePr>
                  <a:graphicFrameLocks/>
                </wp:cNvGraphicFramePr>
                <a:graphic>
                  <a:graphicData uri="http://schemas.microsoft.com/office/word/2010/wordprocessingGroup">
                    <wpg:wgp>
                      <wpg:cNvPr id="2" name="Group 2"/>
                      <wpg:cNvGrpSpPr/>
                      <wpg:grpSpPr>
                        <a:xfrm>
                          <a:off x="0" y="0"/>
                          <a:ext cx="615315" cy="399415"/>
                          <a:chExt cx="615315" cy="399415"/>
                        </a:xfrm>
                      </wpg:grpSpPr>
                      <pic:pic>
                        <pic:nvPicPr>
                          <pic:cNvPr id="3" name="Image 3"/>
                          <pic:cNvPicPr/>
                        </pic:nvPicPr>
                        <pic:blipFill>
                          <a:blip r:embed="rId6" cstate="print"/>
                          <a:stretch>
                            <a:fillRect/>
                          </a:stretch>
                        </pic:blipFill>
                        <pic:spPr>
                          <a:xfrm>
                            <a:off x="0" y="0"/>
                            <a:ext cx="348846" cy="338470"/>
                          </a:xfrm>
                          <a:prstGeom prst="rect">
                            <a:avLst/>
                          </a:prstGeom>
                        </pic:spPr>
                      </pic:pic>
                      <wps:wsp>
                        <wps:cNvPr id="4" name="Graphic 4"/>
                        <wps:cNvSpPr/>
                        <wps:spPr>
                          <a:xfrm>
                            <a:off x="27734" y="25214"/>
                            <a:ext cx="335280" cy="333375"/>
                          </a:xfrm>
                          <a:custGeom>
                            <a:avLst/>
                            <a:gdLst/>
                            <a:ahLst/>
                            <a:cxnLst/>
                            <a:rect l="l" t="t" r="r" b="b"/>
                            <a:pathLst>
                              <a:path w="335280" h="333375">
                                <a:moveTo>
                                  <a:pt x="169913" y="0"/>
                                </a:moveTo>
                                <a:lnTo>
                                  <a:pt x="124743" y="6069"/>
                                </a:lnTo>
                                <a:lnTo>
                                  <a:pt x="84154" y="23198"/>
                                </a:lnTo>
                                <a:lnTo>
                                  <a:pt x="49766" y="49766"/>
                                </a:lnTo>
                                <a:lnTo>
                                  <a:pt x="23198" y="84154"/>
                                </a:lnTo>
                                <a:lnTo>
                                  <a:pt x="6069" y="124743"/>
                                </a:lnTo>
                                <a:lnTo>
                                  <a:pt x="0" y="169913"/>
                                </a:lnTo>
                                <a:lnTo>
                                  <a:pt x="5960" y="214680"/>
                                </a:lnTo>
                                <a:lnTo>
                                  <a:pt x="22790" y="254966"/>
                                </a:lnTo>
                                <a:lnTo>
                                  <a:pt x="48916" y="289196"/>
                                </a:lnTo>
                                <a:lnTo>
                                  <a:pt x="82764" y="315794"/>
                                </a:lnTo>
                                <a:lnTo>
                                  <a:pt x="122758" y="333184"/>
                                </a:lnTo>
                                <a:lnTo>
                                  <a:pt x="106196" y="325747"/>
                                </a:lnTo>
                                <a:lnTo>
                                  <a:pt x="90254" y="316518"/>
                                </a:lnTo>
                                <a:lnTo>
                                  <a:pt x="32560" y="256120"/>
                                </a:lnTo>
                                <a:lnTo>
                                  <a:pt x="15090" y="215327"/>
                                </a:lnTo>
                                <a:lnTo>
                                  <a:pt x="8497" y="172556"/>
                                </a:lnTo>
                                <a:lnTo>
                                  <a:pt x="12840" y="130074"/>
                                </a:lnTo>
                                <a:lnTo>
                                  <a:pt x="28178" y="90147"/>
                                </a:lnTo>
                                <a:lnTo>
                                  <a:pt x="54571" y="55041"/>
                                </a:lnTo>
                                <a:lnTo>
                                  <a:pt x="89683" y="28643"/>
                                </a:lnTo>
                                <a:lnTo>
                                  <a:pt x="129613" y="13301"/>
                                </a:lnTo>
                                <a:lnTo>
                                  <a:pt x="172097" y="8956"/>
                                </a:lnTo>
                                <a:lnTo>
                                  <a:pt x="214869" y="15548"/>
                                </a:lnTo>
                                <a:lnTo>
                                  <a:pt x="255663" y="33017"/>
                                </a:lnTo>
                                <a:lnTo>
                                  <a:pt x="292214" y="61302"/>
                                </a:lnTo>
                                <a:lnTo>
                                  <a:pt x="317738" y="93340"/>
                                </a:lnTo>
                                <a:lnTo>
                                  <a:pt x="334822" y="128892"/>
                                </a:lnTo>
                                <a:lnTo>
                                  <a:pt x="318275" y="87065"/>
                                </a:lnTo>
                                <a:lnTo>
                                  <a:pt x="291798" y="51547"/>
                                </a:lnTo>
                                <a:lnTo>
                                  <a:pt x="257103" y="24053"/>
                                </a:lnTo>
                                <a:lnTo>
                                  <a:pt x="215904" y="6299"/>
                                </a:lnTo>
                                <a:lnTo>
                                  <a:pt x="169913" y="0"/>
                                </a:lnTo>
                                <a:close/>
                              </a:path>
                            </a:pathLst>
                          </a:custGeom>
                          <a:solidFill>
                            <a:srgbClr val="162851"/>
                          </a:solidFill>
                        </wps:spPr>
                        <wps:bodyPr wrap="square" lIns="0" tIns="0" rIns="0" bIns="0" rtlCol="0">
                          <a:prstTxWarp prst="textNoShape">
                            <a:avLst/>
                          </a:prstTxWarp>
                          <a:noAutofit/>
                        </wps:bodyPr>
                      </wps:wsp>
                      <wps:wsp>
                        <wps:cNvPr id="5" name="Graphic 5"/>
                        <wps:cNvSpPr/>
                        <wps:spPr>
                          <a:xfrm>
                            <a:off x="217487" y="207377"/>
                            <a:ext cx="191135" cy="191770"/>
                          </a:xfrm>
                          <a:custGeom>
                            <a:avLst/>
                            <a:gdLst/>
                            <a:ahLst/>
                            <a:cxnLst/>
                            <a:rect l="l" t="t" r="r" b="b"/>
                            <a:pathLst>
                              <a:path w="191135" h="191770">
                                <a:moveTo>
                                  <a:pt x="43611" y="0"/>
                                </a:moveTo>
                                <a:lnTo>
                                  <a:pt x="0" y="0"/>
                                </a:lnTo>
                                <a:lnTo>
                                  <a:pt x="0" y="188429"/>
                                </a:lnTo>
                                <a:lnTo>
                                  <a:pt x="43611" y="188429"/>
                                </a:lnTo>
                                <a:lnTo>
                                  <a:pt x="43611" y="0"/>
                                </a:lnTo>
                                <a:close/>
                              </a:path>
                              <a:path w="191135" h="191770">
                                <a:moveTo>
                                  <a:pt x="190842" y="0"/>
                                </a:moveTo>
                                <a:lnTo>
                                  <a:pt x="81292" y="0"/>
                                </a:lnTo>
                                <a:lnTo>
                                  <a:pt x="81292" y="35001"/>
                                </a:lnTo>
                                <a:lnTo>
                                  <a:pt x="147510" y="35001"/>
                                </a:lnTo>
                                <a:lnTo>
                                  <a:pt x="147510" y="124637"/>
                                </a:lnTo>
                                <a:lnTo>
                                  <a:pt x="145834" y="138303"/>
                                </a:lnTo>
                                <a:lnTo>
                                  <a:pt x="140843" y="148056"/>
                                </a:lnTo>
                                <a:lnTo>
                                  <a:pt x="132511" y="153924"/>
                                </a:lnTo>
                                <a:lnTo>
                                  <a:pt x="120853" y="155867"/>
                                </a:lnTo>
                                <a:lnTo>
                                  <a:pt x="111290" y="154571"/>
                                </a:lnTo>
                                <a:lnTo>
                                  <a:pt x="102273" y="150685"/>
                                </a:lnTo>
                                <a:lnTo>
                                  <a:pt x="93802" y="144208"/>
                                </a:lnTo>
                                <a:lnTo>
                                  <a:pt x="85864" y="135140"/>
                                </a:lnTo>
                                <a:lnTo>
                                  <a:pt x="61633" y="164211"/>
                                </a:lnTo>
                                <a:lnTo>
                                  <a:pt x="96088" y="187655"/>
                                </a:lnTo>
                                <a:lnTo>
                                  <a:pt x="123012" y="191668"/>
                                </a:lnTo>
                                <a:lnTo>
                                  <a:pt x="138684" y="190588"/>
                                </a:lnTo>
                                <a:lnTo>
                                  <a:pt x="173621" y="174307"/>
                                </a:lnTo>
                                <a:lnTo>
                                  <a:pt x="189763" y="138493"/>
                                </a:lnTo>
                                <a:lnTo>
                                  <a:pt x="190842" y="122212"/>
                                </a:lnTo>
                                <a:lnTo>
                                  <a:pt x="190842" y="0"/>
                                </a:lnTo>
                                <a:close/>
                              </a:path>
                            </a:pathLst>
                          </a:custGeom>
                          <a:solidFill>
                            <a:srgbClr val="1A1A1A"/>
                          </a:solidFill>
                        </wps:spPr>
                        <wps:bodyPr wrap="square" lIns="0" tIns="0" rIns="0" bIns="0" rtlCol="0">
                          <a:prstTxWarp prst="textNoShape">
                            <a:avLst/>
                          </a:prstTxWarp>
                          <a:noAutofit/>
                        </wps:bodyPr>
                      </wps:wsp>
                      <pic:pic>
                        <pic:nvPicPr>
                          <pic:cNvPr id="6" name="Image 6"/>
                          <pic:cNvPicPr/>
                        </pic:nvPicPr>
                        <pic:blipFill>
                          <a:blip r:embed="rId7" cstate="print"/>
                          <a:stretch>
                            <a:fillRect/>
                          </a:stretch>
                        </pic:blipFill>
                        <pic:spPr>
                          <a:xfrm>
                            <a:off x="451407" y="207377"/>
                            <a:ext cx="163398" cy="188429"/>
                          </a:xfrm>
                          <a:prstGeom prst="rect">
                            <a:avLst/>
                          </a:prstGeom>
                        </pic:spPr>
                      </pic:pic>
                    </wpg:wgp>
                  </a:graphicData>
                </a:graphic>
              </wp:inline>
            </w:drawing>
          </mc:Choice>
          <mc:Fallback>
            <w:pict>
              <v:group style="width:48.45pt;height:31.45pt;mso-position-horizontal-relative:char;mso-position-vertical-relative:line" id="docshapegroup1" coordorigin="0,0" coordsize="969,629">
                <v:shape style="position:absolute;left:0;top:0;width:550;height:534" type="#_x0000_t75" id="docshape2" stroked="false">
                  <v:imagedata r:id="rId6" o:title=""/>
                </v:shape>
                <v:shape style="position:absolute;left:43;top:39;width:528;height:525" id="docshape3" coordorigin="44,40" coordsize="528,525" path="m311,40l240,49,176,76,122,118,80,172,53,236,44,307,53,378,80,441,121,495,174,537,237,564,211,553,186,538,95,443,67,379,57,311,64,245,88,182,130,126,185,85,248,61,315,54,382,64,446,92,504,136,544,187,571,243,545,177,503,121,449,78,384,50,311,40xe" filled="true" fillcolor="#162851" stroked="false">
                  <v:path arrowok="t"/>
                  <v:fill type="solid"/>
                </v:shape>
                <v:shape style="position:absolute;left:342;top:326;width:301;height:302" id="docshape4" coordorigin="343,327" coordsize="301,302" path="m411,327l343,327,343,623,411,623,411,327xm643,327l471,327,471,382,575,382,575,523,572,544,564,560,551,569,533,572,518,570,504,564,490,554,478,539,440,585,448,595,458,604,469,611,481,617,494,622,507,626,521,628,536,628,561,627,582,622,601,613,616,601,628,586,636,567,641,545,643,519,643,327xe" filled="true" fillcolor="#1a1a1a" stroked="false">
                  <v:path arrowok="t"/>
                  <v:fill type="solid"/>
                </v:shape>
                <v:shape style="position:absolute;left:710;top:326;width:258;height:297" type="#_x0000_t75" id="docshape5" stroked="false">
                  <v:imagedata r:id="rId7" o:title=""/>
                </v:shape>
              </v:group>
            </w:pict>
          </mc:Fallback>
        </mc:AlternateContent>
      </w:r>
      <w:r>
        <w:rPr>
          <w:rFonts w:ascii="Times New Roman"/>
          <w:sz w:val="20"/>
        </w:rPr>
      </w:r>
    </w:p>
    <w:p>
      <w:pPr>
        <w:pStyle w:val="BodyText"/>
        <w:spacing w:line="235" w:lineRule="auto" w:before="98"/>
        <w:ind w:left="3362" w:right="3064" w:hanging="418"/>
      </w:pPr>
      <w:r>
        <w:rPr>
          <w:color w:val="221F1F"/>
        </w:rPr>
        <w:t>International</w:t>
      </w:r>
      <w:r>
        <w:rPr>
          <w:color w:val="221F1F"/>
          <w:spacing w:val="-17"/>
        </w:rPr>
        <w:t> </w:t>
      </w:r>
      <w:r>
        <w:rPr>
          <w:color w:val="221F1F"/>
        </w:rPr>
        <w:t>Journal</w:t>
      </w:r>
      <w:r>
        <w:rPr>
          <w:color w:val="221F1F"/>
          <w:spacing w:val="-16"/>
        </w:rPr>
        <w:t> </w:t>
      </w:r>
      <w:r>
        <w:rPr>
          <w:color w:val="221F1F"/>
        </w:rPr>
        <w:t>Polytechnic AUTHORS’ DECLARATION</w:t>
      </w:r>
    </w:p>
    <w:p>
      <w:pPr>
        <w:pStyle w:val="BodyText"/>
        <w:spacing w:before="26"/>
        <w:rPr>
          <w:sz w:val="20"/>
        </w:rPr>
      </w:pPr>
    </w:p>
    <w:tbl>
      <w:tblPr>
        <w:tblW w:w="0" w:type="auto"/>
        <w:jc w:val="left"/>
        <w:tblInd w:w="1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588"/>
        <w:gridCol w:w="4707"/>
        <w:gridCol w:w="2273"/>
      </w:tblGrid>
      <w:tr>
        <w:trPr>
          <w:trHeight w:val="464" w:hRule="exact"/>
        </w:trPr>
        <w:tc>
          <w:tcPr>
            <w:tcW w:w="2588" w:type="dxa"/>
            <w:tcBorders>
              <w:bottom w:val="single" w:sz="8" w:space="0" w:color="000000"/>
            </w:tcBorders>
            <w:shd w:val="clear" w:color="auto" w:fill="CECAE6"/>
          </w:tcPr>
          <w:p>
            <w:pPr>
              <w:pStyle w:val="TableParagraph"/>
              <w:spacing w:before="119"/>
              <w:ind w:left="619"/>
              <w:rPr>
                <w:sz w:val="19"/>
              </w:rPr>
            </w:pPr>
            <w:r>
              <w:rPr>
                <w:color w:val="221F1F"/>
                <w:sz w:val="19"/>
              </w:rPr>
              <w:t>Manuscipt</w:t>
            </w:r>
            <w:r>
              <w:rPr>
                <w:color w:val="221F1F"/>
                <w:spacing w:val="27"/>
                <w:sz w:val="19"/>
              </w:rPr>
              <w:t> </w:t>
            </w:r>
            <w:r>
              <w:rPr>
                <w:color w:val="221F1F"/>
                <w:spacing w:val="-4"/>
                <w:sz w:val="19"/>
              </w:rPr>
              <w:t>title</w:t>
            </w:r>
          </w:p>
        </w:tc>
        <w:tc>
          <w:tcPr>
            <w:tcW w:w="6980" w:type="dxa"/>
            <w:gridSpan w:val="2"/>
            <w:vMerge w:val="restart"/>
            <w:tcBorders>
              <w:left w:val="single" w:sz="8" w:space="0" w:color="000000"/>
            </w:tcBorders>
          </w:tcPr>
          <w:p>
            <w:pPr>
              <w:pStyle w:val="TableParagraph"/>
              <w:rPr>
                <w:rFonts w:ascii="Times New Roman"/>
                <w:sz w:val="18"/>
              </w:rPr>
            </w:pPr>
          </w:p>
        </w:tc>
      </w:tr>
      <w:tr>
        <w:trPr>
          <w:trHeight w:val="370" w:hRule="exact"/>
        </w:trPr>
        <w:tc>
          <w:tcPr>
            <w:tcW w:w="2588" w:type="dxa"/>
            <w:vMerge w:val="restart"/>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6980" w:type="dxa"/>
            <w:gridSpan w:val="2"/>
            <w:vMerge/>
            <w:tcBorders>
              <w:top w:val="nil"/>
              <w:left w:val="single" w:sz="8" w:space="0" w:color="000000"/>
            </w:tcBorders>
          </w:tcPr>
          <w:p>
            <w:pPr>
              <w:rPr>
                <w:sz w:val="2"/>
                <w:szCs w:val="2"/>
              </w:rPr>
            </w:pPr>
          </w:p>
        </w:tc>
      </w:tr>
      <w:tr>
        <w:trPr>
          <w:trHeight w:val="661" w:hRule="exact"/>
        </w:trPr>
        <w:tc>
          <w:tcPr>
            <w:tcW w:w="2588" w:type="dxa"/>
            <w:vMerge/>
            <w:tcBorders>
              <w:top w:val="nil"/>
              <w:left w:val="single" w:sz="8" w:space="0" w:color="000000"/>
              <w:bottom w:val="single" w:sz="8" w:space="0" w:color="000000"/>
              <w:right w:val="single" w:sz="8" w:space="0" w:color="000000"/>
            </w:tcBorders>
          </w:tcPr>
          <w:p>
            <w:pPr>
              <w:rPr>
                <w:sz w:val="2"/>
                <w:szCs w:val="2"/>
              </w:rPr>
            </w:pPr>
          </w:p>
        </w:tc>
        <w:tc>
          <w:tcPr>
            <w:tcW w:w="4707" w:type="dxa"/>
            <w:tcBorders>
              <w:left w:val="single" w:sz="8" w:space="0" w:color="000000"/>
              <w:bottom w:val="single" w:sz="8" w:space="0" w:color="000000"/>
            </w:tcBorders>
            <w:shd w:val="clear" w:color="auto" w:fill="CECAE6"/>
          </w:tcPr>
          <w:p>
            <w:pPr>
              <w:pStyle w:val="TableParagraph"/>
              <w:spacing w:before="217"/>
              <w:ind w:left="409"/>
              <w:rPr>
                <w:sz w:val="19"/>
              </w:rPr>
            </w:pPr>
            <w:r>
              <w:rPr>
                <w:color w:val="221F1F"/>
                <w:w w:val="105"/>
                <w:sz w:val="19"/>
              </w:rPr>
              <w:t>Name,</w:t>
            </w:r>
            <w:r>
              <w:rPr>
                <w:color w:val="221F1F"/>
                <w:spacing w:val="-11"/>
                <w:w w:val="105"/>
                <w:sz w:val="19"/>
              </w:rPr>
              <w:t> </w:t>
            </w:r>
            <w:r>
              <w:rPr>
                <w:color w:val="221F1F"/>
                <w:w w:val="105"/>
                <w:sz w:val="19"/>
              </w:rPr>
              <w:t>middle</w:t>
            </w:r>
            <w:r>
              <w:rPr>
                <w:color w:val="221F1F"/>
                <w:spacing w:val="-11"/>
                <w:w w:val="105"/>
                <w:sz w:val="19"/>
              </w:rPr>
              <w:t> </w:t>
            </w:r>
            <w:r>
              <w:rPr>
                <w:color w:val="221F1F"/>
                <w:w w:val="105"/>
                <w:sz w:val="19"/>
              </w:rPr>
              <w:t>name,</w:t>
            </w:r>
            <w:r>
              <w:rPr>
                <w:color w:val="221F1F"/>
                <w:spacing w:val="-11"/>
                <w:w w:val="105"/>
                <w:sz w:val="19"/>
              </w:rPr>
              <w:t> </w:t>
            </w:r>
            <w:r>
              <w:rPr>
                <w:color w:val="221F1F"/>
                <w:w w:val="105"/>
                <w:sz w:val="19"/>
              </w:rPr>
              <w:t>year</w:t>
            </w:r>
            <w:r>
              <w:rPr>
                <w:color w:val="221F1F"/>
                <w:spacing w:val="-11"/>
                <w:w w:val="105"/>
                <w:sz w:val="19"/>
              </w:rPr>
              <w:t> </w:t>
            </w:r>
            <w:r>
              <w:rPr>
                <w:color w:val="221F1F"/>
                <w:w w:val="105"/>
                <w:sz w:val="19"/>
              </w:rPr>
              <w:t>of</w:t>
            </w:r>
            <w:r>
              <w:rPr>
                <w:color w:val="221F1F"/>
                <w:spacing w:val="-11"/>
                <w:w w:val="105"/>
                <w:sz w:val="19"/>
              </w:rPr>
              <w:t> </w:t>
            </w:r>
            <w:r>
              <w:rPr>
                <w:color w:val="221F1F"/>
                <w:w w:val="105"/>
                <w:sz w:val="19"/>
              </w:rPr>
              <w:t>birth</w:t>
            </w:r>
            <w:r>
              <w:rPr>
                <w:color w:val="221F1F"/>
                <w:spacing w:val="-10"/>
                <w:w w:val="105"/>
                <w:sz w:val="19"/>
              </w:rPr>
              <w:t> </w:t>
            </w:r>
            <w:r>
              <w:rPr>
                <w:color w:val="221F1F"/>
                <w:w w:val="105"/>
                <w:sz w:val="19"/>
              </w:rPr>
              <w:t>and</w:t>
            </w:r>
            <w:r>
              <w:rPr>
                <w:color w:val="221F1F"/>
                <w:spacing w:val="-11"/>
                <w:w w:val="105"/>
                <w:sz w:val="19"/>
              </w:rPr>
              <w:t> </w:t>
            </w:r>
            <w:r>
              <w:rPr>
                <w:color w:val="221F1F"/>
                <w:spacing w:val="-2"/>
                <w:w w:val="105"/>
                <w:sz w:val="19"/>
              </w:rPr>
              <w:t>email</w:t>
            </w:r>
          </w:p>
        </w:tc>
        <w:tc>
          <w:tcPr>
            <w:tcW w:w="2273" w:type="dxa"/>
            <w:tcBorders>
              <w:bottom w:val="single" w:sz="8" w:space="0" w:color="000000"/>
            </w:tcBorders>
            <w:shd w:val="clear" w:color="auto" w:fill="CECAE6"/>
          </w:tcPr>
          <w:p>
            <w:pPr>
              <w:pStyle w:val="TableParagraph"/>
              <w:spacing w:before="217"/>
              <w:ind w:right="8"/>
              <w:jc w:val="center"/>
              <w:rPr>
                <w:sz w:val="19"/>
              </w:rPr>
            </w:pPr>
            <w:r>
              <w:rPr>
                <w:color w:val="221F1F"/>
                <w:spacing w:val="-2"/>
                <w:w w:val="105"/>
                <w:sz w:val="19"/>
              </w:rPr>
              <w:t>ORCID</w:t>
            </w:r>
          </w:p>
        </w:tc>
      </w:tr>
      <w:tr>
        <w:trPr>
          <w:trHeight w:val="392" w:hRule="exact"/>
        </w:trPr>
        <w:tc>
          <w:tcPr>
            <w:tcW w:w="2588" w:type="dxa"/>
            <w:vMerge/>
            <w:tcBorders>
              <w:top w:val="nil"/>
              <w:left w:val="single" w:sz="8" w:space="0" w:color="000000"/>
              <w:bottom w:val="single" w:sz="8" w:space="0" w:color="000000"/>
              <w:right w:val="single" w:sz="8" w:space="0" w:color="000000"/>
            </w:tcBorders>
          </w:tcPr>
          <w:p>
            <w:pPr>
              <w:rPr>
                <w:sz w:val="2"/>
                <w:szCs w:val="2"/>
              </w:rPr>
            </w:pPr>
          </w:p>
        </w:tc>
        <w:tc>
          <w:tcPr>
            <w:tcW w:w="4707" w:type="dxa"/>
            <w:tcBorders>
              <w:top w:val="single" w:sz="8" w:space="0" w:color="000000"/>
              <w:left w:val="single" w:sz="8" w:space="0" w:color="000000"/>
            </w:tcBorders>
          </w:tcPr>
          <w:p>
            <w:pPr>
              <w:pStyle w:val="TableParagraph"/>
              <w:rPr>
                <w:rFonts w:ascii="Times New Roman"/>
                <w:sz w:val="18"/>
              </w:rPr>
            </w:pPr>
          </w:p>
        </w:tc>
        <w:tc>
          <w:tcPr>
            <w:tcW w:w="2273" w:type="dxa"/>
            <w:tcBorders>
              <w:top w:val="single" w:sz="8" w:space="0" w:color="000000"/>
            </w:tcBorders>
          </w:tcPr>
          <w:p>
            <w:pPr>
              <w:pStyle w:val="TableParagraph"/>
              <w:rPr>
                <w:rFonts w:ascii="Times New Roman"/>
                <w:sz w:val="18"/>
              </w:rPr>
            </w:pPr>
          </w:p>
        </w:tc>
      </w:tr>
      <w:tr>
        <w:trPr>
          <w:trHeight w:val="372" w:hRule="exact"/>
        </w:trPr>
        <w:tc>
          <w:tcPr>
            <w:tcW w:w="2588" w:type="dxa"/>
            <w:vMerge/>
            <w:tcBorders>
              <w:top w:val="nil"/>
              <w:left w:val="single" w:sz="8" w:space="0" w:color="000000"/>
              <w:bottom w:val="single" w:sz="8" w:space="0" w:color="000000"/>
              <w:right w:val="single" w:sz="8" w:space="0" w:color="000000"/>
            </w:tcBorders>
          </w:tcPr>
          <w:p>
            <w:pPr>
              <w:rPr>
                <w:sz w:val="2"/>
                <w:szCs w:val="2"/>
              </w:rPr>
            </w:pPr>
          </w:p>
        </w:tc>
        <w:tc>
          <w:tcPr>
            <w:tcW w:w="4707" w:type="dxa"/>
            <w:tcBorders>
              <w:left w:val="single" w:sz="8" w:space="0" w:color="000000"/>
            </w:tcBorders>
          </w:tcPr>
          <w:p>
            <w:pPr>
              <w:pStyle w:val="TableParagraph"/>
              <w:rPr>
                <w:rFonts w:ascii="Times New Roman"/>
                <w:sz w:val="18"/>
              </w:rPr>
            </w:pPr>
          </w:p>
        </w:tc>
        <w:tc>
          <w:tcPr>
            <w:tcW w:w="2273" w:type="dxa"/>
          </w:tcPr>
          <w:p>
            <w:pPr>
              <w:pStyle w:val="TableParagraph"/>
              <w:rPr>
                <w:rFonts w:ascii="Times New Roman"/>
                <w:sz w:val="18"/>
              </w:rPr>
            </w:pPr>
          </w:p>
        </w:tc>
      </w:tr>
      <w:tr>
        <w:trPr>
          <w:trHeight w:val="191" w:hRule="exact"/>
        </w:trPr>
        <w:tc>
          <w:tcPr>
            <w:tcW w:w="2588" w:type="dxa"/>
            <w:vMerge/>
            <w:tcBorders>
              <w:top w:val="nil"/>
              <w:left w:val="single" w:sz="8" w:space="0" w:color="000000"/>
              <w:bottom w:val="single" w:sz="8" w:space="0" w:color="000000"/>
              <w:right w:val="single" w:sz="8" w:space="0" w:color="000000"/>
            </w:tcBorders>
          </w:tcPr>
          <w:p>
            <w:pPr>
              <w:rPr>
                <w:sz w:val="2"/>
                <w:szCs w:val="2"/>
              </w:rPr>
            </w:pPr>
          </w:p>
        </w:tc>
        <w:tc>
          <w:tcPr>
            <w:tcW w:w="4707" w:type="dxa"/>
            <w:vMerge w:val="restart"/>
            <w:tcBorders>
              <w:left w:val="single" w:sz="8" w:space="0" w:color="000000"/>
            </w:tcBorders>
          </w:tcPr>
          <w:p>
            <w:pPr>
              <w:pStyle w:val="TableParagraph"/>
              <w:rPr>
                <w:rFonts w:ascii="Times New Roman"/>
                <w:sz w:val="18"/>
              </w:rPr>
            </w:pPr>
          </w:p>
        </w:tc>
        <w:tc>
          <w:tcPr>
            <w:tcW w:w="2273" w:type="dxa"/>
            <w:vMerge w:val="restart"/>
          </w:tcPr>
          <w:p>
            <w:pPr>
              <w:pStyle w:val="TableParagraph"/>
              <w:rPr>
                <w:rFonts w:ascii="Times New Roman"/>
                <w:sz w:val="18"/>
              </w:rPr>
            </w:pPr>
          </w:p>
        </w:tc>
      </w:tr>
      <w:tr>
        <w:trPr>
          <w:trHeight w:val="198" w:hRule="exact"/>
        </w:trPr>
        <w:tc>
          <w:tcPr>
            <w:tcW w:w="2588" w:type="dxa"/>
            <w:vMerge w:val="restart"/>
            <w:tcBorders>
              <w:top w:val="single" w:sz="8" w:space="0" w:color="000000"/>
            </w:tcBorders>
            <w:shd w:val="clear" w:color="auto" w:fill="CECAE6"/>
          </w:tcPr>
          <w:p>
            <w:pPr>
              <w:pStyle w:val="TableParagraph"/>
              <w:spacing w:before="80"/>
              <w:ind w:right="15"/>
              <w:jc w:val="center"/>
              <w:rPr>
                <w:sz w:val="19"/>
              </w:rPr>
            </w:pPr>
            <w:r>
              <w:rPr>
                <w:color w:val="221F1F"/>
                <w:spacing w:val="-2"/>
                <w:w w:val="105"/>
                <w:sz w:val="19"/>
              </w:rPr>
              <w:t>Authors</w:t>
            </w:r>
          </w:p>
        </w:tc>
        <w:tc>
          <w:tcPr>
            <w:tcW w:w="4707" w:type="dxa"/>
            <w:vMerge/>
            <w:tcBorders>
              <w:top w:val="nil"/>
              <w:left w:val="single" w:sz="8" w:space="0" w:color="000000"/>
            </w:tcBorders>
          </w:tcPr>
          <w:p>
            <w:pPr>
              <w:rPr>
                <w:sz w:val="2"/>
                <w:szCs w:val="2"/>
              </w:rPr>
            </w:pPr>
          </w:p>
        </w:tc>
        <w:tc>
          <w:tcPr>
            <w:tcW w:w="2273" w:type="dxa"/>
            <w:vMerge/>
            <w:tcBorders>
              <w:top w:val="nil"/>
            </w:tcBorders>
          </w:tcPr>
          <w:p>
            <w:pPr>
              <w:rPr>
                <w:sz w:val="2"/>
                <w:szCs w:val="2"/>
              </w:rPr>
            </w:pPr>
          </w:p>
        </w:tc>
      </w:tr>
      <w:tr>
        <w:trPr>
          <w:trHeight w:val="205" w:hRule="exact"/>
        </w:trPr>
        <w:tc>
          <w:tcPr>
            <w:tcW w:w="2588" w:type="dxa"/>
            <w:vMerge/>
            <w:tcBorders>
              <w:top w:val="nil"/>
            </w:tcBorders>
            <w:shd w:val="clear" w:color="auto" w:fill="CECAE6"/>
          </w:tcPr>
          <w:p>
            <w:pPr>
              <w:rPr>
                <w:sz w:val="2"/>
                <w:szCs w:val="2"/>
              </w:rPr>
            </w:pPr>
          </w:p>
        </w:tc>
        <w:tc>
          <w:tcPr>
            <w:tcW w:w="4707" w:type="dxa"/>
            <w:vMerge w:val="restart"/>
          </w:tcPr>
          <w:p>
            <w:pPr>
              <w:pStyle w:val="TableParagraph"/>
              <w:rPr>
                <w:rFonts w:ascii="Times New Roman"/>
                <w:sz w:val="18"/>
              </w:rPr>
            </w:pPr>
          </w:p>
        </w:tc>
        <w:tc>
          <w:tcPr>
            <w:tcW w:w="2273" w:type="dxa"/>
            <w:vMerge w:val="restart"/>
          </w:tcPr>
          <w:p>
            <w:pPr>
              <w:pStyle w:val="TableParagraph"/>
              <w:rPr>
                <w:rFonts w:ascii="Times New Roman"/>
                <w:sz w:val="18"/>
              </w:rPr>
            </w:pPr>
          </w:p>
        </w:tc>
      </w:tr>
      <w:tr>
        <w:trPr>
          <w:trHeight w:val="184" w:hRule="exact"/>
        </w:trPr>
        <w:tc>
          <w:tcPr>
            <w:tcW w:w="2588" w:type="dxa"/>
            <w:vMerge w:val="restart"/>
            <w:tcBorders>
              <w:bottom w:val="single" w:sz="8" w:space="0" w:color="000000"/>
            </w:tcBorders>
          </w:tcPr>
          <w:p>
            <w:pPr>
              <w:pStyle w:val="TableParagraph"/>
              <w:rPr>
                <w:rFonts w:ascii="Times New Roman"/>
                <w:sz w:val="18"/>
              </w:rPr>
            </w:pPr>
          </w:p>
        </w:tc>
        <w:tc>
          <w:tcPr>
            <w:tcW w:w="4707" w:type="dxa"/>
            <w:vMerge/>
            <w:tcBorders>
              <w:top w:val="nil"/>
            </w:tcBorders>
          </w:tcPr>
          <w:p>
            <w:pPr>
              <w:rPr>
                <w:sz w:val="2"/>
                <w:szCs w:val="2"/>
              </w:rPr>
            </w:pPr>
          </w:p>
        </w:tc>
        <w:tc>
          <w:tcPr>
            <w:tcW w:w="2273" w:type="dxa"/>
            <w:vMerge/>
            <w:tcBorders>
              <w:top w:val="nil"/>
            </w:tcBorders>
          </w:tcPr>
          <w:p>
            <w:pPr>
              <w:rPr>
                <w:sz w:val="2"/>
                <w:szCs w:val="2"/>
              </w:rPr>
            </w:pPr>
          </w:p>
        </w:tc>
      </w:tr>
      <w:tr>
        <w:trPr>
          <w:trHeight w:val="390" w:hRule="exact"/>
        </w:trPr>
        <w:tc>
          <w:tcPr>
            <w:tcW w:w="2588" w:type="dxa"/>
            <w:vMerge/>
            <w:tcBorders>
              <w:top w:val="nil"/>
              <w:bottom w:val="single" w:sz="8" w:space="0" w:color="000000"/>
            </w:tcBorders>
          </w:tcPr>
          <w:p>
            <w:pPr>
              <w:rPr>
                <w:sz w:val="2"/>
                <w:szCs w:val="2"/>
              </w:rPr>
            </w:pPr>
          </w:p>
        </w:tc>
        <w:tc>
          <w:tcPr>
            <w:tcW w:w="4707" w:type="dxa"/>
          </w:tcPr>
          <w:p>
            <w:pPr>
              <w:pStyle w:val="TableParagraph"/>
              <w:rPr>
                <w:rFonts w:ascii="Times New Roman"/>
                <w:sz w:val="18"/>
              </w:rPr>
            </w:pPr>
          </w:p>
        </w:tc>
        <w:tc>
          <w:tcPr>
            <w:tcW w:w="2273" w:type="dxa"/>
          </w:tcPr>
          <w:p>
            <w:pPr>
              <w:pStyle w:val="TableParagraph"/>
              <w:rPr>
                <w:rFonts w:ascii="Times New Roman"/>
                <w:sz w:val="18"/>
              </w:rPr>
            </w:pPr>
          </w:p>
        </w:tc>
      </w:tr>
      <w:tr>
        <w:trPr>
          <w:trHeight w:val="390" w:hRule="exact"/>
        </w:trPr>
        <w:tc>
          <w:tcPr>
            <w:tcW w:w="2588" w:type="dxa"/>
            <w:vMerge/>
            <w:tcBorders>
              <w:top w:val="nil"/>
              <w:bottom w:val="single" w:sz="8" w:space="0" w:color="000000"/>
            </w:tcBorders>
          </w:tcPr>
          <w:p>
            <w:pPr>
              <w:rPr>
                <w:sz w:val="2"/>
                <w:szCs w:val="2"/>
              </w:rPr>
            </w:pPr>
          </w:p>
        </w:tc>
        <w:tc>
          <w:tcPr>
            <w:tcW w:w="4707" w:type="dxa"/>
          </w:tcPr>
          <w:p>
            <w:pPr>
              <w:pStyle w:val="TableParagraph"/>
              <w:rPr>
                <w:rFonts w:ascii="Times New Roman"/>
                <w:sz w:val="18"/>
              </w:rPr>
            </w:pPr>
          </w:p>
        </w:tc>
        <w:tc>
          <w:tcPr>
            <w:tcW w:w="2273" w:type="dxa"/>
          </w:tcPr>
          <w:p>
            <w:pPr>
              <w:pStyle w:val="TableParagraph"/>
              <w:rPr>
                <w:rFonts w:ascii="Times New Roman"/>
                <w:sz w:val="18"/>
              </w:rPr>
            </w:pPr>
          </w:p>
        </w:tc>
      </w:tr>
      <w:tr>
        <w:trPr>
          <w:trHeight w:val="390" w:hRule="exact"/>
        </w:trPr>
        <w:tc>
          <w:tcPr>
            <w:tcW w:w="2588" w:type="dxa"/>
            <w:vMerge/>
            <w:tcBorders>
              <w:top w:val="nil"/>
              <w:bottom w:val="single" w:sz="8" w:space="0" w:color="000000"/>
            </w:tcBorders>
          </w:tcPr>
          <w:p>
            <w:pPr>
              <w:rPr>
                <w:sz w:val="2"/>
                <w:szCs w:val="2"/>
              </w:rPr>
            </w:pPr>
          </w:p>
        </w:tc>
        <w:tc>
          <w:tcPr>
            <w:tcW w:w="4707" w:type="dxa"/>
          </w:tcPr>
          <w:p>
            <w:pPr>
              <w:pStyle w:val="TableParagraph"/>
              <w:rPr>
                <w:rFonts w:ascii="Times New Roman"/>
                <w:sz w:val="18"/>
              </w:rPr>
            </w:pPr>
          </w:p>
        </w:tc>
        <w:tc>
          <w:tcPr>
            <w:tcW w:w="2273" w:type="dxa"/>
          </w:tcPr>
          <w:p>
            <w:pPr>
              <w:pStyle w:val="TableParagraph"/>
              <w:rPr>
                <w:rFonts w:ascii="Times New Roman"/>
                <w:sz w:val="18"/>
              </w:rPr>
            </w:pPr>
          </w:p>
        </w:tc>
      </w:tr>
      <w:tr>
        <w:trPr>
          <w:trHeight w:val="388" w:hRule="exact"/>
        </w:trPr>
        <w:tc>
          <w:tcPr>
            <w:tcW w:w="2588" w:type="dxa"/>
            <w:vMerge/>
            <w:tcBorders>
              <w:top w:val="nil"/>
              <w:bottom w:val="single" w:sz="8" w:space="0" w:color="000000"/>
            </w:tcBorders>
          </w:tcPr>
          <w:p>
            <w:pPr>
              <w:rPr>
                <w:sz w:val="2"/>
                <w:szCs w:val="2"/>
              </w:rPr>
            </w:pPr>
          </w:p>
        </w:tc>
        <w:tc>
          <w:tcPr>
            <w:tcW w:w="4707" w:type="dxa"/>
            <w:tcBorders>
              <w:bottom w:val="single" w:sz="8" w:space="0" w:color="000000"/>
            </w:tcBorders>
          </w:tcPr>
          <w:p>
            <w:pPr>
              <w:pStyle w:val="TableParagraph"/>
              <w:rPr>
                <w:rFonts w:ascii="Times New Roman"/>
                <w:sz w:val="18"/>
              </w:rPr>
            </w:pPr>
          </w:p>
        </w:tc>
        <w:tc>
          <w:tcPr>
            <w:tcW w:w="2273" w:type="dxa"/>
            <w:tcBorders>
              <w:bottom w:val="single" w:sz="8" w:space="0" w:color="000000"/>
            </w:tcBorders>
          </w:tcPr>
          <w:p>
            <w:pPr>
              <w:pStyle w:val="TableParagraph"/>
              <w:rPr>
                <w:rFonts w:ascii="Times New Roman"/>
                <w:sz w:val="18"/>
              </w:rPr>
            </w:pPr>
          </w:p>
        </w:tc>
      </w:tr>
      <w:tr>
        <w:trPr>
          <w:trHeight w:val="7471" w:hRule="exact"/>
        </w:trPr>
        <w:tc>
          <w:tcPr>
            <w:tcW w:w="9568" w:type="dxa"/>
            <w:gridSpan w:val="3"/>
            <w:tcBorders>
              <w:top w:val="single" w:sz="8" w:space="0" w:color="000000"/>
              <w:left w:val="single" w:sz="8" w:space="0" w:color="000000"/>
              <w:bottom w:val="single" w:sz="8" w:space="0" w:color="000000"/>
              <w:right w:val="single" w:sz="8" w:space="0" w:color="000000"/>
            </w:tcBorders>
          </w:tcPr>
          <w:p>
            <w:pPr>
              <w:pStyle w:val="TableParagraph"/>
              <w:spacing w:line="216" w:lineRule="auto" w:before="93"/>
              <w:ind w:left="90" w:right="217"/>
              <w:rPr>
                <w:sz w:val="19"/>
              </w:rPr>
            </w:pPr>
            <w:r>
              <w:rPr>
                <w:color w:val="221F1F"/>
                <w:sz w:val="19"/>
              </w:rPr>
              <w:t>I hereby confirm that I am familiar with the instructions for authors and the obligations of authors as defined</w:t>
            </w:r>
            <w:r>
              <w:rPr>
                <w:color w:val="221F1F"/>
                <w:spacing w:val="80"/>
                <w:sz w:val="19"/>
              </w:rPr>
              <w:t> </w:t>
            </w:r>
            <w:r>
              <w:rPr>
                <w:color w:val="221F1F"/>
                <w:sz w:val="19"/>
              </w:rPr>
              <w:t>in the editorial policy of the journal, and that I have complied with them in preparing this work.</w:t>
            </w:r>
          </w:p>
          <w:p>
            <w:pPr>
              <w:pStyle w:val="TableParagraph"/>
              <w:spacing w:line="216" w:lineRule="auto" w:before="208"/>
              <w:ind w:left="90" w:right="217"/>
              <w:rPr>
                <w:sz w:val="19"/>
              </w:rPr>
            </w:pPr>
            <w:r>
              <w:rPr>
                <w:color w:val="221F1F"/>
                <w:sz w:val="19"/>
              </w:rPr>
              <w:t>The manuscript I have submitted to the International Journal Polytechnic has not been previously published elsewhere, is not under consideration for publication in another journal, and has not been simultaneously submitted for review to other journals. I have checked and approved the version of the manuscript submitted</w:t>
            </w:r>
            <w:r>
              <w:rPr>
                <w:color w:val="221F1F"/>
                <w:spacing w:val="40"/>
                <w:sz w:val="19"/>
              </w:rPr>
              <w:t> </w:t>
            </w:r>
            <w:r>
              <w:rPr>
                <w:color w:val="221F1F"/>
                <w:sz w:val="19"/>
              </w:rPr>
              <w:t>to the International Journal Polytechnic.</w:t>
            </w:r>
          </w:p>
          <w:p>
            <w:pPr>
              <w:pStyle w:val="TableParagraph"/>
              <w:spacing w:line="216" w:lineRule="auto" w:before="210"/>
              <w:ind w:left="90" w:right="217"/>
              <w:rPr>
                <w:sz w:val="19"/>
              </w:rPr>
            </w:pPr>
            <w:r>
              <w:rPr>
                <w:color w:val="221F1F"/>
                <w:sz w:val="19"/>
              </w:rPr>
              <w:t>The manuscript does not contain statements that could be considered defamatory or any unlawful statements, and do not contain material that infringes the personal or property rights of individuals or legal </w:t>
            </w:r>
            <w:r>
              <w:rPr>
                <w:color w:val="221F1F"/>
                <w:spacing w:val="-2"/>
                <w:sz w:val="19"/>
              </w:rPr>
              <w:t>entities.</w:t>
            </w:r>
          </w:p>
          <w:p>
            <w:pPr>
              <w:pStyle w:val="TableParagraph"/>
              <w:spacing w:line="216" w:lineRule="auto" w:before="209"/>
              <w:ind w:left="90" w:right="217"/>
              <w:rPr>
                <w:sz w:val="19"/>
              </w:rPr>
            </w:pPr>
            <w:r>
              <w:rPr>
                <w:color w:val="221F1F"/>
                <w:sz w:val="19"/>
              </w:rPr>
              <w:t>I have no conflict of interest that could call into question the integrity and credibility of the published results. (Detailed information on conflict of interest can be found at: </w:t>
            </w:r>
            <w:hyperlink r:id="rId8">
              <w:r>
                <w:rPr>
                  <w:color w:val="221F1F"/>
                  <w:sz w:val="19"/>
                </w:rPr>
                <w:t>http://www.icmje.org/conflicts-of-interest/</w:t>
              </w:r>
            </w:hyperlink>
            <w:r>
              <w:rPr>
                <w:color w:val="221F1F"/>
                <w:sz w:val="19"/>
              </w:rPr>
              <w:t> )</w:t>
            </w:r>
          </w:p>
          <w:p>
            <w:pPr>
              <w:pStyle w:val="TableParagraph"/>
              <w:spacing w:line="216" w:lineRule="auto" w:before="208"/>
              <w:ind w:left="90" w:right="315"/>
              <w:rPr>
                <w:sz w:val="19"/>
              </w:rPr>
            </w:pPr>
            <w:r>
              <w:rPr>
                <w:color w:val="221F1F"/>
                <w:sz w:val="19"/>
              </w:rPr>
              <w:t>I have obtained consent from the copyright holders for the use of all copyright-protected materials used in the manuscript and have cited the sources in the manuscript and supplementary materials. If details or images of research subjects or persons are used in the manuscript, this has been done with their consent obtained in accordance with the law and editorial policy.</w:t>
            </w:r>
          </w:p>
          <w:p>
            <w:pPr>
              <w:pStyle w:val="TableParagraph"/>
              <w:spacing w:line="216" w:lineRule="auto" w:before="210"/>
              <w:ind w:left="90" w:right="315"/>
              <w:rPr>
                <w:sz w:val="19"/>
              </w:rPr>
            </w:pPr>
            <w:r>
              <w:rPr>
                <w:color w:val="221F1F"/>
                <w:sz w:val="19"/>
              </w:rPr>
              <w:t>I confirm that I am aware of the obligation to disclose the use of artificial intelligence tools in my work, as well as the purposes for which such tools were used.</w:t>
            </w:r>
          </w:p>
          <w:p>
            <w:pPr>
              <w:pStyle w:val="TableParagraph"/>
              <w:spacing w:line="216" w:lineRule="auto" w:before="208"/>
              <w:ind w:left="90" w:right="217" w:hanging="1"/>
              <w:rPr>
                <w:sz w:val="19"/>
              </w:rPr>
            </w:pPr>
            <w:r>
              <w:rPr>
                <w:color w:val="221F1F"/>
                <w:sz w:val="19"/>
              </w:rPr>
              <w:t>The contribution of individual authors to the preparation of the manuscript is defined according to the following criteria:</w:t>
            </w:r>
          </w:p>
          <w:p>
            <w:pPr>
              <w:pStyle w:val="TableParagraph"/>
              <w:numPr>
                <w:ilvl w:val="0"/>
                <w:numId w:val="1"/>
              </w:numPr>
              <w:tabs>
                <w:tab w:pos="775" w:val="left" w:leader="none"/>
              </w:tabs>
              <w:spacing w:line="217" w:lineRule="exact" w:before="190" w:after="0"/>
              <w:ind w:left="775" w:right="0" w:hanging="101"/>
              <w:jc w:val="left"/>
              <w:rPr>
                <w:sz w:val="19"/>
              </w:rPr>
            </w:pPr>
            <w:r>
              <w:rPr>
                <w:color w:val="221F1F"/>
                <w:sz w:val="19"/>
              </w:rPr>
              <w:t>Contribution</w:t>
            </w:r>
            <w:r>
              <w:rPr>
                <w:color w:val="221F1F"/>
                <w:spacing w:val="9"/>
                <w:sz w:val="19"/>
              </w:rPr>
              <w:t> </w:t>
            </w:r>
            <w:r>
              <w:rPr>
                <w:color w:val="221F1F"/>
                <w:sz w:val="19"/>
              </w:rPr>
              <w:t>to</w:t>
            </w:r>
            <w:r>
              <w:rPr>
                <w:color w:val="221F1F"/>
                <w:spacing w:val="9"/>
                <w:sz w:val="19"/>
              </w:rPr>
              <w:t> </w:t>
            </w:r>
            <w:r>
              <w:rPr>
                <w:color w:val="221F1F"/>
                <w:sz w:val="19"/>
              </w:rPr>
              <w:t>the</w:t>
            </w:r>
            <w:r>
              <w:rPr>
                <w:color w:val="221F1F"/>
                <w:spacing w:val="9"/>
                <w:sz w:val="19"/>
              </w:rPr>
              <w:t> </w:t>
            </w:r>
            <w:r>
              <w:rPr>
                <w:color w:val="221F1F"/>
                <w:sz w:val="19"/>
              </w:rPr>
              <w:t>idea</w:t>
            </w:r>
            <w:r>
              <w:rPr>
                <w:color w:val="221F1F"/>
                <w:spacing w:val="9"/>
                <w:sz w:val="19"/>
              </w:rPr>
              <w:t> </w:t>
            </w:r>
            <w:r>
              <w:rPr>
                <w:color w:val="221F1F"/>
                <w:sz w:val="19"/>
              </w:rPr>
              <w:t>and</w:t>
            </w:r>
            <w:r>
              <w:rPr>
                <w:color w:val="221F1F"/>
                <w:spacing w:val="9"/>
                <w:sz w:val="19"/>
              </w:rPr>
              <w:t> </w:t>
            </w:r>
            <w:r>
              <w:rPr>
                <w:color w:val="221F1F"/>
                <w:spacing w:val="-2"/>
                <w:sz w:val="19"/>
              </w:rPr>
              <w:t>plan;</w:t>
            </w:r>
          </w:p>
          <w:p>
            <w:pPr>
              <w:pStyle w:val="TableParagraph"/>
              <w:numPr>
                <w:ilvl w:val="0"/>
                <w:numId w:val="1"/>
              </w:numPr>
              <w:tabs>
                <w:tab w:pos="775" w:val="left" w:leader="none"/>
              </w:tabs>
              <w:spacing w:line="206" w:lineRule="exact" w:before="0" w:after="0"/>
              <w:ind w:left="775" w:right="0" w:hanging="101"/>
              <w:jc w:val="left"/>
              <w:rPr>
                <w:sz w:val="19"/>
              </w:rPr>
            </w:pPr>
            <w:r>
              <w:rPr>
                <w:color w:val="221F1F"/>
                <w:sz w:val="19"/>
              </w:rPr>
              <w:t>Design</w:t>
            </w:r>
            <w:r>
              <w:rPr>
                <w:color w:val="221F1F"/>
                <w:spacing w:val="9"/>
                <w:sz w:val="19"/>
              </w:rPr>
              <w:t> </w:t>
            </w:r>
            <w:r>
              <w:rPr>
                <w:color w:val="221F1F"/>
                <w:sz w:val="19"/>
              </w:rPr>
              <w:t>and</w:t>
            </w:r>
            <w:r>
              <w:rPr>
                <w:color w:val="221F1F"/>
                <w:spacing w:val="9"/>
                <w:sz w:val="19"/>
              </w:rPr>
              <w:t> </w:t>
            </w:r>
            <w:r>
              <w:rPr>
                <w:color w:val="221F1F"/>
                <w:sz w:val="19"/>
              </w:rPr>
              <w:t>methods</w:t>
            </w:r>
            <w:r>
              <w:rPr>
                <w:color w:val="221F1F"/>
                <w:spacing w:val="9"/>
                <w:sz w:val="19"/>
              </w:rPr>
              <w:t> </w:t>
            </w:r>
            <w:r>
              <w:rPr>
                <w:color w:val="221F1F"/>
                <w:sz w:val="19"/>
              </w:rPr>
              <w:t>of</w:t>
            </w:r>
            <w:r>
              <w:rPr>
                <w:color w:val="221F1F"/>
                <w:spacing w:val="9"/>
                <w:sz w:val="19"/>
              </w:rPr>
              <w:t> </w:t>
            </w:r>
            <w:r>
              <w:rPr>
                <w:color w:val="221F1F"/>
                <w:sz w:val="19"/>
              </w:rPr>
              <w:t>the</w:t>
            </w:r>
            <w:r>
              <w:rPr>
                <w:color w:val="221F1F"/>
                <w:spacing w:val="9"/>
                <w:sz w:val="19"/>
              </w:rPr>
              <w:t> </w:t>
            </w:r>
            <w:r>
              <w:rPr>
                <w:color w:val="221F1F"/>
                <w:spacing w:val="-2"/>
                <w:sz w:val="19"/>
              </w:rPr>
              <w:t>study;</w:t>
            </w:r>
          </w:p>
          <w:p>
            <w:pPr>
              <w:pStyle w:val="TableParagraph"/>
              <w:numPr>
                <w:ilvl w:val="0"/>
                <w:numId w:val="1"/>
              </w:numPr>
              <w:tabs>
                <w:tab w:pos="775" w:val="left" w:leader="none"/>
              </w:tabs>
              <w:spacing w:line="206" w:lineRule="exact" w:before="0" w:after="0"/>
              <w:ind w:left="775" w:right="0" w:hanging="101"/>
              <w:jc w:val="left"/>
              <w:rPr>
                <w:sz w:val="19"/>
              </w:rPr>
            </w:pPr>
            <w:r>
              <w:rPr>
                <w:color w:val="221F1F"/>
                <w:sz w:val="19"/>
              </w:rPr>
              <w:t>Acquisition</w:t>
            </w:r>
            <w:r>
              <w:rPr>
                <w:color w:val="221F1F"/>
                <w:spacing w:val="12"/>
                <w:sz w:val="19"/>
              </w:rPr>
              <w:t> </w:t>
            </w:r>
            <w:r>
              <w:rPr>
                <w:color w:val="221F1F"/>
                <w:sz w:val="19"/>
              </w:rPr>
              <w:t>and</w:t>
            </w:r>
            <w:r>
              <w:rPr>
                <w:color w:val="221F1F"/>
                <w:spacing w:val="12"/>
                <w:sz w:val="19"/>
              </w:rPr>
              <w:t> </w:t>
            </w:r>
            <w:r>
              <w:rPr>
                <w:color w:val="221F1F"/>
                <w:sz w:val="19"/>
              </w:rPr>
              <w:t>collection</w:t>
            </w:r>
            <w:r>
              <w:rPr>
                <w:color w:val="221F1F"/>
                <w:spacing w:val="12"/>
                <w:sz w:val="19"/>
              </w:rPr>
              <w:t> </w:t>
            </w:r>
            <w:r>
              <w:rPr>
                <w:color w:val="221F1F"/>
                <w:sz w:val="19"/>
              </w:rPr>
              <w:t>of</w:t>
            </w:r>
            <w:r>
              <w:rPr>
                <w:color w:val="221F1F"/>
                <w:spacing w:val="12"/>
                <w:sz w:val="19"/>
              </w:rPr>
              <w:t> </w:t>
            </w:r>
            <w:r>
              <w:rPr>
                <w:color w:val="221F1F"/>
                <w:spacing w:val="-2"/>
                <w:sz w:val="19"/>
              </w:rPr>
              <w:t>data;</w:t>
            </w:r>
          </w:p>
          <w:p>
            <w:pPr>
              <w:pStyle w:val="TableParagraph"/>
              <w:numPr>
                <w:ilvl w:val="0"/>
                <w:numId w:val="1"/>
              </w:numPr>
              <w:tabs>
                <w:tab w:pos="775" w:val="left" w:leader="none"/>
              </w:tabs>
              <w:spacing w:line="206" w:lineRule="exact" w:before="0" w:after="0"/>
              <w:ind w:left="775" w:right="0" w:hanging="101"/>
              <w:jc w:val="left"/>
              <w:rPr>
                <w:sz w:val="19"/>
              </w:rPr>
            </w:pPr>
            <w:r>
              <w:rPr>
                <w:color w:val="221F1F"/>
                <w:sz w:val="19"/>
              </w:rPr>
              <w:t>Analysis</w:t>
            </w:r>
            <w:r>
              <w:rPr>
                <w:color w:val="221F1F"/>
                <w:spacing w:val="11"/>
                <w:sz w:val="19"/>
              </w:rPr>
              <w:t> </w:t>
            </w:r>
            <w:r>
              <w:rPr>
                <w:color w:val="221F1F"/>
                <w:sz w:val="19"/>
              </w:rPr>
              <w:t>and</w:t>
            </w:r>
            <w:r>
              <w:rPr>
                <w:color w:val="221F1F"/>
                <w:spacing w:val="12"/>
                <w:sz w:val="19"/>
              </w:rPr>
              <w:t> </w:t>
            </w:r>
            <w:r>
              <w:rPr>
                <w:color w:val="221F1F"/>
                <w:sz w:val="19"/>
              </w:rPr>
              <w:t>interpretation</w:t>
            </w:r>
            <w:r>
              <w:rPr>
                <w:color w:val="221F1F"/>
                <w:spacing w:val="12"/>
                <w:sz w:val="19"/>
              </w:rPr>
              <w:t> </w:t>
            </w:r>
            <w:r>
              <w:rPr>
                <w:color w:val="221F1F"/>
                <w:sz w:val="19"/>
              </w:rPr>
              <w:t>of</w:t>
            </w:r>
            <w:r>
              <w:rPr>
                <w:color w:val="221F1F"/>
                <w:spacing w:val="11"/>
                <w:sz w:val="19"/>
              </w:rPr>
              <w:t> </w:t>
            </w:r>
            <w:r>
              <w:rPr>
                <w:color w:val="221F1F"/>
                <w:spacing w:val="-2"/>
                <w:sz w:val="19"/>
              </w:rPr>
              <w:t>data;</w:t>
            </w:r>
          </w:p>
          <w:p>
            <w:pPr>
              <w:pStyle w:val="TableParagraph"/>
              <w:numPr>
                <w:ilvl w:val="0"/>
                <w:numId w:val="1"/>
              </w:numPr>
              <w:tabs>
                <w:tab w:pos="775" w:val="left" w:leader="none"/>
              </w:tabs>
              <w:spacing w:line="206" w:lineRule="exact" w:before="0" w:after="0"/>
              <w:ind w:left="775" w:right="0" w:hanging="101"/>
              <w:jc w:val="left"/>
              <w:rPr>
                <w:sz w:val="19"/>
              </w:rPr>
            </w:pPr>
            <w:r>
              <w:rPr>
                <w:color w:val="221F1F"/>
                <w:sz w:val="19"/>
              </w:rPr>
              <w:t>Writing</w:t>
            </w:r>
            <w:r>
              <w:rPr>
                <w:color w:val="221F1F"/>
                <w:spacing w:val="6"/>
                <w:sz w:val="19"/>
              </w:rPr>
              <w:t> </w:t>
            </w:r>
            <w:r>
              <w:rPr>
                <w:color w:val="221F1F"/>
                <w:sz w:val="19"/>
              </w:rPr>
              <w:t>of</w:t>
            </w:r>
            <w:r>
              <w:rPr>
                <w:color w:val="221F1F"/>
                <w:spacing w:val="7"/>
                <w:sz w:val="19"/>
              </w:rPr>
              <w:t> </w:t>
            </w:r>
            <w:r>
              <w:rPr>
                <w:color w:val="221F1F"/>
                <w:sz w:val="19"/>
              </w:rPr>
              <w:t>the</w:t>
            </w:r>
            <w:r>
              <w:rPr>
                <w:color w:val="221F1F"/>
                <w:spacing w:val="7"/>
                <w:sz w:val="19"/>
              </w:rPr>
              <w:t> </w:t>
            </w:r>
            <w:r>
              <w:rPr>
                <w:color w:val="221F1F"/>
                <w:spacing w:val="-2"/>
                <w:sz w:val="19"/>
              </w:rPr>
              <w:t>manuscript;</w:t>
            </w:r>
          </w:p>
          <w:p>
            <w:pPr>
              <w:pStyle w:val="TableParagraph"/>
              <w:numPr>
                <w:ilvl w:val="0"/>
                <w:numId w:val="1"/>
              </w:numPr>
              <w:tabs>
                <w:tab w:pos="775" w:val="left" w:leader="none"/>
              </w:tabs>
              <w:spacing w:line="206" w:lineRule="exact" w:before="0" w:after="0"/>
              <w:ind w:left="775" w:right="0" w:hanging="101"/>
              <w:jc w:val="left"/>
              <w:rPr>
                <w:sz w:val="19"/>
              </w:rPr>
            </w:pPr>
            <w:r>
              <w:rPr>
                <w:color w:val="221F1F"/>
                <w:sz w:val="19"/>
              </w:rPr>
              <w:t>Critical</w:t>
            </w:r>
            <w:r>
              <w:rPr>
                <w:color w:val="221F1F"/>
                <w:spacing w:val="7"/>
                <w:sz w:val="19"/>
              </w:rPr>
              <w:t> </w:t>
            </w:r>
            <w:r>
              <w:rPr>
                <w:color w:val="221F1F"/>
                <w:sz w:val="19"/>
              </w:rPr>
              <w:t>revision</w:t>
            </w:r>
            <w:r>
              <w:rPr>
                <w:color w:val="221F1F"/>
                <w:spacing w:val="8"/>
                <w:sz w:val="19"/>
              </w:rPr>
              <w:t> </w:t>
            </w:r>
            <w:r>
              <w:rPr>
                <w:color w:val="221F1F"/>
                <w:sz w:val="19"/>
              </w:rPr>
              <w:t>of</w:t>
            </w:r>
            <w:r>
              <w:rPr>
                <w:color w:val="221F1F"/>
                <w:spacing w:val="8"/>
                <w:sz w:val="19"/>
              </w:rPr>
              <w:t> </w:t>
            </w:r>
            <w:r>
              <w:rPr>
                <w:color w:val="221F1F"/>
                <w:sz w:val="19"/>
              </w:rPr>
              <w:t>the</w:t>
            </w:r>
            <w:r>
              <w:rPr>
                <w:color w:val="221F1F"/>
                <w:spacing w:val="8"/>
                <w:sz w:val="19"/>
              </w:rPr>
              <w:t> </w:t>
            </w:r>
            <w:r>
              <w:rPr>
                <w:color w:val="221F1F"/>
                <w:spacing w:val="-2"/>
                <w:sz w:val="19"/>
              </w:rPr>
              <w:t>work;</w:t>
            </w:r>
          </w:p>
          <w:p>
            <w:pPr>
              <w:pStyle w:val="TableParagraph"/>
              <w:numPr>
                <w:ilvl w:val="0"/>
                <w:numId w:val="1"/>
              </w:numPr>
              <w:tabs>
                <w:tab w:pos="775" w:val="left" w:leader="none"/>
              </w:tabs>
              <w:spacing w:line="217" w:lineRule="exact" w:before="0" w:after="0"/>
              <w:ind w:left="775" w:right="0" w:hanging="101"/>
              <w:jc w:val="left"/>
              <w:rPr>
                <w:sz w:val="19"/>
              </w:rPr>
            </w:pPr>
            <w:r>
              <w:rPr>
                <w:color w:val="221F1F"/>
                <w:sz w:val="19"/>
              </w:rPr>
              <w:t>Preparation</w:t>
            </w:r>
            <w:r>
              <w:rPr>
                <w:color w:val="221F1F"/>
                <w:spacing w:val="7"/>
                <w:sz w:val="19"/>
              </w:rPr>
              <w:t> </w:t>
            </w:r>
            <w:r>
              <w:rPr>
                <w:color w:val="221F1F"/>
                <w:sz w:val="19"/>
              </w:rPr>
              <w:t>of</w:t>
            </w:r>
            <w:r>
              <w:rPr>
                <w:color w:val="221F1F"/>
                <w:spacing w:val="8"/>
                <w:sz w:val="19"/>
              </w:rPr>
              <w:t> </w:t>
            </w:r>
            <w:r>
              <w:rPr>
                <w:color w:val="221F1F"/>
                <w:sz w:val="19"/>
              </w:rPr>
              <w:t>the</w:t>
            </w:r>
            <w:r>
              <w:rPr>
                <w:color w:val="221F1F"/>
                <w:spacing w:val="8"/>
                <w:sz w:val="19"/>
              </w:rPr>
              <w:t> </w:t>
            </w:r>
            <w:r>
              <w:rPr>
                <w:color w:val="221F1F"/>
                <w:sz w:val="19"/>
              </w:rPr>
              <w:t>final</w:t>
            </w:r>
            <w:r>
              <w:rPr>
                <w:color w:val="221F1F"/>
                <w:spacing w:val="8"/>
                <w:sz w:val="19"/>
              </w:rPr>
              <w:t> </w:t>
            </w:r>
            <w:r>
              <w:rPr>
                <w:color w:val="221F1F"/>
                <w:sz w:val="19"/>
              </w:rPr>
              <w:t>version</w:t>
            </w:r>
            <w:r>
              <w:rPr>
                <w:color w:val="221F1F"/>
                <w:spacing w:val="8"/>
                <w:sz w:val="19"/>
              </w:rPr>
              <w:t> </w:t>
            </w:r>
            <w:r>
              <w:rPr>
                <w:color w:val="221F1F"/>
                <w:sz w:val="19"/>
              </w:rPr>
              <w:t>for</w:t>
            </w:r>
            <w:r>
              <w:rPr>
                <w:color w:val="221F1F"/>
                <w:spacing w:val="8"/>
                <w:sz w:val="19"/>
              </w:rPr>
              <w:t> </w:t>
            </w:r>
            <w:r>
              <w:rPr>
                <w:color w:val="221F1F"/>
                <w:spacing w:val="-2"/>
                <w:sz w:val="19"/>
              </w:rPr>
              <w:t>publication.</w:t>
            </w:r>
          </w:p>
          <w:p>
            <w:pPr>
              <w:pStyle w:val="TableParagraph"/>
              <w:spacing w:before="185"/>
              <w:ind w:left="91"/>
              <w:rPr>
                <w:sz w:val="19"/>
              </w:rPr>
            </w:pPr>
            <w:r>
              <w:rPr>
                <w:color w:val="221F1F"/>
                <w:sz w:val="19"/>
              </w:rPr>
              <w:t>By</w:t>
            </w:r>
            <w:r>
              <w:rPr>
                <w:color w:val="221F1F"/>
                <w:spacing w:val="6"/>
                <w:sz w:val="19"/>
              </w:rPr>
              <w:t> </w:t>
            </w:r>
            <w:r>
              <w:rPr>
                <w:color w:val="221F1F"/>
                <w:sz w:val="19"/>
              </w:rPr>
              <w:t>signing,</w:t>
            </w:r>
            <w:r>
              <w:rPr>
                <w:color w:val="221F1F"/>
                <w:spacing w:val="7"/>
                <w:sz w:val="19"/>
              </w:rPr>
              <w:t> </w:t>
            </w:r>
            <w:r>
              <w:rPr>
                <w:color w:val="221F1F"/>
                <w:sz w:val="19"/>
              </w:rPr>
              <w:t>I</w:t>
            </w:r>
            <w:r>
              <w:rPr>
                <w:color w:val="221F1F"/>
                <w:spacing w:val="6"/>
                <w:sz w:val="19"/>
              </w:rPr>
              <w:t> </w:t>
            </w:r>
            <w:r>
              <w:rPr>
                <w:color w:val="221F1F"/>
                <w:sz w:val="19"/>
              </w:rPr>
              <w:t>confirm</w:t>
            </w:r>
            <w:r>
              <w:rPr>
                <w:color w:val="221F1F"/>
                <w:spacing w:val="7"/>
                <w:sz w:val="19"/>
              </w:rPr>
              <w:t> </w:t>
            </w:r>
            <w:r>
              <w:rPr>
                <w:color w:val="221F1F"/>
                <w:sz w:val="19"/>
              </w:rPr>
              <w:t>that</w:t>
            </w:r>
            <w:r>
              <w:rPr>
                <w:color w:val="221F1F"/>
                <w:spacing w:val="6"/>
                <w:sz w:val="19"/>
              </w:rPr>
              <w:t> </w:t>
            </w:r>
            <w:r>
              <w:rPr>
                <w:color w:val="221F1F"/>
                <w:sz w:val="19"/>
              </w:rPr>
              <w:t>I</w:t>
            </w:r>
            <w:r>
              <w:rPr>
                <w:color w:val="221F1F"/>
                <w:spacing w:val="7"/>
                <w:sz w:val="19"/>
              </w:rPr>
              <w:t> </w:t>
            </w:r>
            <w:r>
              <w:rPr>
                <w:color w:val="221F1F"/>
                <w:sz w:val="19"/>
              </w:rPr>
              <w:t>have</w:t>
            </w:r>
            <w:r>
              <w:rPr>
                <w:color w:val="221F1F"/>
                <w:spacing w:val="6"/>
                <w:sz w:val="19"/>
              </w:rPr>
              <w:t> </w:t>
            </w:r>
            <w:r>
              <w:rPr>
                <w:color w:val="221F1F"/>
                <w:sz w:val="19"/>
              </w:rPr>
              <w:t>read</w:t>
            </w:r>
            <w:r>
              <w:rPr>
                <w:color w:val="221F1F"/>
                <w:spacing w:val="7"/>
                <w:sz w:val="19"/>
              </w:rPr>
              <w:t> </w:t>
            </w:r>
            <w:r>
              <w:rPr>
                <w:color w:val="221F1F"/>
                <w:sz w:val="19"/>
              </w:rPr>
              <w:t>and</w:t>
            </w:r>
            <w:r>
              <w:rPr>
                <w:color w:val="221F1F"/>
                <w:spacing w:val="7"/>
                <w:sz w:val="19"/>
              </w:rPr>
              <w:t> </w:t>
            </w:r>
            <w:r>
              <w:rPr>
                <w:color w:val="221F1F"/>
                <w:sz w:val="19"/>
              </w:rPr>
              <w:t>approved</w:t>
            </w:r>
            <w:r>
              <w:rPr>
                <w:color w:val="221F1F"/>
                <w:spacing w:val="6"/>
                <w:sz w:val="19"/>
              </w:rPr>
              <w:t> </w:t>
            </w:r>
            <w:r>
              <w:rPr>
                <w:color w:val="221F1F"/>
                <w:sz w:val="19"/>
              </w:rPr>
              <w:t>the</w:t>
            </w:r>
            <w:r>
              <w:rPr>
                <w:color w:val="221F1F"/>
                <w:spacing w:val="7"/>
                <w:sz w:val="19"/>
              </w:rPr>
              <w:t> </w:t>
            </w:r>
            <w:r>
              <w:rPr>
                <w:color w:val="221F1F"/>
                <w:sz w:val="19"/>
              </w:rPr>
              <w:t>final</w:t>
            </w:r>
            <w:r>
              <w:rPr>
                <w:color w:val="221F1F"/>
                <w:spacing w:val="6"/>
                <w:sz w:val="19"/>
              </w:rPr>
              <w:t> </w:t>
            </w:r>
            <w:r>
              <w:rPr>
                <w:color w:val="221F1F"/>
                <w:sz w:val="19"/>
              </w:rPr>
              <w:t>text</w:t>
            </w:r>
            <w:r>
              <w:rPr>
                <w:color w:val="221F1F"/>
                <w:spacing w:val="7"/>
                <w:sz w:val="19"/>
              </w:rPr>
              <w:t> </w:t>
            </w:r>
            <w:r>
              <w:rPr>
                <w:color w:val="221F1F"/>
                <w:sz w:val="19"/>
              </w:rPr>
              <w:t>prepared</w:t>
            </w:r>
            <w:r>
              <w:rPr>
                <w:color w:val="221F1F"/>
                <w:spacing w:val="6"/>
                <w:sz w:val="19"/>
              </w:rPr>
              <w:t> </w:t>
            </w:r>
            <w:r>
              <w:rPr>
                <w:color w:val="221F1F"/>
                <w:sz w:val="19"/>
              </w:rPr>
              <w:t>for</w:t>
            </w:r>
            <w:r>
              <w:rPr>
                <w:color w:val="221F1F"/>
                <w:spacing w:val="7"/>
                <w:sz w:val="19"/>
              </w:rPr>
              <w:t> </w:t>
            </w:r>
            <w:r>
              <w:rPr>
                <w:color w:val="221F1F"/>
                <w:spacing w:val="-2"/>
                <w:sz w:val="19"/>
              </w:rPr>
              <w:t>publication.</w:t>
            </w:r>
          </w:p>
        </w:tc>
      </w:tr>
      <w:tr>
        <w:trPr>
          <w:trHeight w:val="537" w:hRule="exact"/>
        </w:trPr>
        <w:tc>
          <w:tcPr>
            <w:tcW w:w="9568" w:type="dxa"/>
            <w:gridSpan w:val="3"/>
            <w:tcBorders>
              <w:top w:val="single" w:sz="8" w:space="0" w:color="000000"/>
              <w:left w:val="single" w:sz="8" w:space="0" w:color="000000"/>
              <w:bottom w:val="single" w:sz="8" w:space="0" w:color="000000"/>
              <w:right w:val="single" w:sz="8" w:space="0" w:color="000000"/>
            </w:tcBorders>
          </w:tcPr>
          <w:p>
            <w:pPr>
              <w:pStyle w:val="TableParagraph"/>
              <w:spacing w:before="135"/>
              <w:ind w:left="134"/>
              <w:rPr>
                <w:sz w:val="19"/>
              </w:rPr>
            </w:pPr>
            <w:r>
              <w:rPr>
                <w:color w:val="221F1F"/>
                <w:spacing w:val="-2"/>
                <w:w w:val="105"/>
                <w:sz w:val="19"/>
              </w:rPr>
              <w:t>Corresponding</w:t>
            </w:r>
            <w:r>
              <w:rPr>
                <w:color w:val="221F1F"/>
                <w:spacing w:val="-3"/>
                <w:w w:val="105"/>
                <w:sz w:val="19"/>
              </w:rPr>
              <w:t> </w:t>
            </w:r>
            <w:r>
              <w:rPr>
                <w:color w:val="221F1F"/>
                <w:spacing w:val="-2"/>
                <w:w w:val="105"/>
                <w:sz w:val="19"/>
              </w:rPr>
              <w:t>author</w:t>
            </w:r>
            <w:r>
              <w:rPr>
                <w:color w:val="221F1F"/>
                <w:spacing w:val="-3"/>
                <w:w w:val="105"/>
                <w:sz w:val="19"/>
              </w:rPr>
              <w:t> </w:t>
            </w:r>
            <w:r>
              <w:rPr>
                <w:color w:val="221F1F"/>
                <w:spacing w:val="-2"/>
                <w:w w:val="105"/>
                <w:sz w:val="19"/>
              </w:rPr>
              <w:t>on</w:t>
            </w:r>
            <w:r>
              <w:rPr>
                <w:color w:val="221F1F"/>
                <w:spacing w:val="-3"/>
                <w:w w:val="105"/>
                <w:sz w:val="19"/>
              </w:rPr>
              <w:t> </w:t>
            </w:r>
            <w:r>
              <w:rPr>
                <w:color w:val="221F1F"/>
                <w:spacing w:val="-2"/>
                <w:w w:val="105"/>
                <w:sz w:val="19"/>
              </w:rPr>
              <w:t>behalf</w:t>
            </w:r>
            <w:r>
              <w:rPr>
                <w:color w:val="221F1F"/>
                <w:spacing w:val="-3"/>
                <w:w w:val="105"/>
                <w:sz w:val="19"/>
              </w:rPr>
              <w:t> </w:t>
            </w:r>
            <w:r>
              <w:rPr>
                <w:color w:val="221F1F"/>
                <w:spacing w:val="-2"/>
                <w:w w:val="105"/>
                <w:sz w:val="19"/>
              </w:rPr>
              <w:t>of</w:t>
            </w:r>
            <w:r>
              <w:rPr>
                <w:color w:val="221F1F"/>
                <w:spacing w:val="-3"/>
                <w:w w:val="105"/>
                <w:sz w:val="19"/>
              </w:rPr>
              <w:t> </w:t>
            </w:r>
            <w:r>
              <w:rPr>
                <w:color w:val="221F1F"/>
                <w:spacing w:val="-2"/>
                <w:w w:val="105"/>
                <w:sz w:val="19"/>
              </w:rPr>
              <w:t>all</w:t>
            </w:r>
            <w:r>
              <w:rPr>
                <w:color w:val="221F1F"/>
                <w:spacing w:val="-3"/>
                <w:w w:val="105"/>
                <w:sz w:val="19"/>
              </w:rPr>
              <w:t> </w:t>
            </w:r>
            <w:r>
              <w:rPr>
                <w:color w:val="221F1F"/>
                <w:spacing w:val="-2"/>
                <w:w w:val="105"/>
                <w:sz w:val="19"/>
              </w:rPr>
              <w:t>co-authors</w:t>
            </w:r>
          </w:p>
        </w:tc>
      </w:tr>
      <w:tr>
        <w:trPr>
          <w:trHeight w:val="560" w:hRule="exact"/>
        </w:trPr>
        <w:tc>
          <w:tcPr>
            <w:tcW w:w="9568" w:type="dxa"/>
            <w:gridSpan w:val="3"/>
            <w:tcBorders>
              <w:top w:val="single" w:sz="8" w:space="0" w:color="000000"/>
              <w:left w:val="single" w:sz="8" w:space="0" w:color="000000"/>
              <w:bottom w:val="single" w:sz="8" w:space="0" w:color="000000"/>
              <w:right w:val="single" w:sz="8" w:space="0" w:color="000000"/>
            </w:tcBorders>
          </w:tcPr>
          <w:p>
            <w:pPr>
              <w:pStyle w:val="TableParagraph"/>
              <w:spacing w:before="147"/>
              <w:ind w:left="152"/>
              <w:rPr>
                <w:sz w:val="19"/>
              </w:rPr>
            </w:pPr>
            <w:r>
              <w:rPr>
                <w:color w:val="221F1F"/>
                <w:sz w:val="19"/>
              </w:rPr>
              <w:t>Signature</w:t>
            </w:r>
            <w:r>
              <w:rPr>
                <w:color w:val="221F1F"/>
                <w:spacing w:val="13"/>
                <w:sz w:val="19"/>
              </w:rPr>
              <w:t> </w:t>
            </w:r>
            <w:r>
              <w:rPr>
                <w:color w:val="221F1F"/>
                <w:sz w:val="19"/>
              </w:rPr>
              <w:t>and</w:t>
            </w:r>
            <w:r>
              <w:rPr>
                <w:color w:val="221F1F"/>
                <w:spacing w:val="13"/>
                <w:sz w:val="19"/>
              </w:rPr>
              <w:t> </w:t>
            </w:r>
            <w:r>
              <w:rPr>
                <w:color w:val="221F1F"/>
                <w:spacing w:val="-4"/>
                <w:sz w:val="19"/>
              </w:rPr>
              <w:t>Date</w:t>
            </w:r>
          </w:p>
        </w:tc>
      </w:tr>
    </w:tbl>
    <w:sectPr>
      <w:type w:val="continuous"/>
      <w:pgSz w:w="11910" w:h="16840"/>
      <w:pgMar w:top="280" w:bottom="0" w:left="1060" w:right="10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Roboto">
    <w:altName w:val="Roboto"/>
    <w:charset w:val="0"/>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76" w:hanging="102"/>
      </w:pPr>
      <w:rPr>
        <w:rFonts w:hint="default" w:ascii="Roboto" w:hAnsi="Roboto" w:eastAsia="Roboto" w:cs="Roboto"/>
        <w:b w:val="0"/>
        <w:bCs w:val="0"/>
        <w:i w:val="0"/>
        <w:iCs w:val="0"/>
        <w:color w:val="221F1F"/>
        <w:spacing w:val="0"/>
        <w:w w:val="102"/>
        <w:sz w:val="19"/>
        <w:szCs w:val="19"/>
        <w:lang w:val="en-US" w:eastAsia="en-US" w:bidi="ar-SA"/>
      </w:rPr>
    </w:lvl>
    <w:lvl w:ilvl="1">
      <w:start w:val="0"/>
      <w:numFmt w:val="bullet"/>
      <w:lvlText w:val="•"/>
      <w:lvlJc w:val="left"/>
      <w:pPr>
        <w:ind w:left="1657" w:hanging="102"/>
      </w:pPr>
      <w:rPr>
        <w:rFonts w:hint="default"/>
        <w:lang w:val="en-US" w:eastAsia="en-US" w:bidi="ar-SA"/>
      </w:rPr>
    </w:lvl>
    <w:lvl w:ilvl="2">
      <w:start w:val="0"/>
      <w:numFmt w:val="bullet"/>
      <w:lvlText w:val="•"/>
      <w:lvlJc w:val="left"/>
      <w:pPr>
        <w:ind w:left="2534" w:hanging="102"/>
      </w:pPr>
      <w:rPr>
        <w:rFonts w:hint="default"/>
        <w:lang w:val="en-US" w:eastAsia="en-US" w:bidi="ar-SA"/>
      </w:rPr>
    </w:lvl>
    <w:lvl w:ilvl="3">
      <w:start w:val="0"/>
      <w:numFmt w:val="bullet"/>
      <w:lvlText w:val="•"/>
      <w:lvlJc w:val="left"/>
      <w:pPr>
        <w:ind w:left="3411" w:hanging="102"/>
      </w:pPr>
      <w:rPr>
        <w:rFonts w:hint="default"/>
        <w:lang w:val="en-US" w:eastAsia="en-US" w:bidi="ar-SA"/>
      </w:rPr>
    </w:lvl>
    <w:lvl w:ilvl="4">
      <w:start w:val="0"/>
      <w:numFmt w:val="bullet"/>
      <w:lvlText w:val="•"/>
      <w:lvlJc w:val="left"/>
      <w:pPr>
        <w:ind w:left="4288" w:hanging="102"/>
      </w:pPr>
      <w:rPr>
        <w:rFonts w:hint="default"/>
        <w:lang w:val="en-US" w:eastAsia="en-US" w:bidi="ar-SA"/>
      </w:rPr>
    </w:lvl>
    <w:lvl w:ilvl="5">
      <w:start w:val="0"/>
      <w:numFmt w:val="bullet"/>
      <w:lvlText w:val="•"/>
      <w:lvlJc w:val="left"/>
      <w:pPr>
        <w:ind w:left="5165" w:hanging="102"/>
      </w:pPr>
      <w:rPr>
        <w:rFonts w:hint="default"/>
        <w:lang w:val="en-US" w:eastAsia="en-US" w:bidi="ar-SA"/>
      </w:rPr>
    </w:lvl>
    <w:lvl w:ilvl="6">
      <w:start w:val="0"/>
      <w:numFmt w:val="bullet"/>
      <w:lvlText w:val="•"/>
      <w:lvlJc w:val="left"/>
      <w:pPr>
        <w:ind w:left="6042" w:hanging="102"/>
      </w:pPr>
      <w:rPr>
        <w:rFonts w:hint="default"/>
        <w:lang w:val="en-US" w:eastAsia="en-US" w:bidi="ar-SA"/>
      </w:rPr>
    </w:lvl>
    <w:lvl w:ilvl="7">
      <w:start w:val="0"/>
      <w:numFmt w:val="bullet"/>
      <w:lvlText w:val="•"/>
      <w:lvlJc w:val="left"/>
      <w:pPr>
        <w:ind w:left="6919" w:hanging="102"/>
      </w:pPr>
      <w:rPr>
        <w:rFonts w:hint="default"/>
        <w:lang w:val="en-US" w:eastAsia="en-US" w:bidi="ar-SA"/>
      </w:rPr>
    </w:lvl>
    <w:lvl w:ilvl="8">
      <w:start w:val="0"/>
      <w:numFmt w:val="bullet"/>
      <w:lvlText w:val="•"/>
      <w:lvlJc w:val="left"/>
      <w:pPr>
        <w:ind w:left="7796" w:hanging="102"/>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Roboto" w:hAnsi="Roboto" w:eastAsia="Roboto" w:cs="Roboto"/>
      <w:lang w:val="en-US" w:eastAsia="en-US" w:bidi="ar-SA"/>
    </w:rPr>
  </w:style>
  <w:style w:styleId="BodyText" w:type="paragraph">
    <w:name w:val="Body Text"/>
    <w:basedOn w:val="Normal"/>
    <w:uiPriority w:val="1"/>
    <w:qFormat/>
    <w:pPr/>
    <w:rPr>
      <w:rFonts w:ascii="Roboto" w:hAnsi="Roboto" w:eastAsia="Roboto" w:cs="Roboto"/>
      <w:sz w:val="26"/>
      <w:szCs w:val="2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Roboto" w:hAnsi="Roboto" w:eastAsia="Roboto" w:cs="Roboto"/>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yperlink" Target="http://www.icmje.org/conflicts-of-interest/" TargetMode="Externa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Authors' Declaration</dc:title>
  <dcterms:created xsi:type="dcterms:W3CDTF">2026-08-26T07:04:17Z</dcterms:created>
  <dcterms:modified xsi:type="dcterms:W3CDTF">2026-08-26T07:04:17Z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2026-08-24T00:00:00Z</vt:filetime>
  </property>
  <property fmtid="{D5CDD505-2E9C-101B-9397-08002B2CF9AE}" pid="3" name="Creator">
    <vt:lpwstr>Adobe Illustrator 27.6 (Windows)</vt:lpwstr>
  </property>
  <property fmtid="{D5CDD505-2E9C-101B-9397-08002B2CF9AE}" pid="4" name="LastSaved">
    <vt:filetime>2026-08-26T00:00:00Z</vt:filetime>
  </property>
  <property fmtid="{D5CDD505-2E9C-101B-9397-08002B2CF9AE}" pid="5" name="Producer">
    <vt:lpwstr>Adobe PDF library 17.00</vt:lpwstr>
  </property>
</Properties>
</file>